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CA9B8" w14:textId="3E31C112" w:rsidR="005922E3" w:rsidRPr="00953637" w:rsidRDefault="00D1310E" w:rsidP="005922E3">
      <w:pPr>
        <w:pBdr>
          <w:top w:val="single" w:sz="6" w:space="8" w:color="A5A5A5"/>
          <w:bottom w:val="single" w:sz="6" w:space="8" w:color="A5A5A5"/>
        </w:pBdr>
        <w:suppressAutoHyphens w:val="0"/>
        <w:spacing w:after="400"/>
        <w:contextualSpacing/>
        <w:jc w:val="center"/>
        <w:rPr>
          <w:rFonts w:ascii="Calibri" w:eastAsia="SimSun" w:hAnsi="Calibri" w:cs="Calibri"/>
          <w:b/>
          <w:bCs/>
          <w:caps/>
          <w:color w:val="44546A"/>
          <w:spacing w:val="30"/>
          <w:sz w:val="56"/>
          <w:szCs w:val="56"/>
          <w:lang w:eastAsia="en-US"/>
        </w:rPr>
      </w:pPr>
      <w:r>
        <w:rPr>
          <w:rFonts w:ascii="Calibri" w:eastAsia="SimSun" w:hAnsi="Calibri" w:cs="Calibri"/>
          <w:caps/>
          <w:color w:val="44546A"/>
          <w:spacing w:val="30"/>
          <w:sz w:val="56"/>
          <w:szCs w:val="56"/>
          <w:lang w:eastAsia="en-US"/>
        </w:rPr>
        <w:t>zasady odbywania porodów rodzinych</w:t>
      </w:r>
    </w:p>
    <w:p w14:paraId="395B619D" w14:textId="77777777" w:rsidR="005922E3" w:rsidRDefault="005922E3" w:rsidP="005922E3">
      <w:pPr>
        <w:spacing w:line="276" w:lineRule="auto"/>
        <w:ind w:left="10" w:right="55"/>
        <w:jc w:val="center"/>
        <w:rPr>
          <w:rFonts w:ascii="Arial" w:hAnsi="Arial" w:cs="Arial"/>
          <w:sz w:val="22"/>
          <w:szCs w:val="22"/>
        </w:rPr>
      </w:pPr>
    </w:p>
    <w:p w14:paraId="75E731FA" w14:textId="7FF31D56" w:rsidR="005922E3" w:rsidRPr="00953637" w:rsidRDefault="005922E3" w:rsidP="005922E3">
      <w:pPr>
        <w:spacing w:line="276" w:lineRule="auto"/>
        <w:ind w:left="10" w:right="55"/>
        <w:jc w:val="center"/>
        <w:rPr>
          <w:rFonts w:ascii="Calibri Light" w:hAnsi="Calibri Light" w:cs="Calibri Light"/>
          <w:sz w:val="22"/>
          <w:szCs w:val="22"/>
        </w:rPr>
      </w:pPr>
    </w:p>
    <w:p w14:paraId="4CCDF7D9"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W Szpitalu św. Anny w Piasecznie umożliwia się odbywanie porodu z udziałem jednej osoby towarzyszącej wskazanej przez rodzącą, nazywanej dalej „osobą towarzyszącą”. </w:t>
      </w:r>
    </w:p>
    <w:p w14:paraId="14AA2896"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Każda ciężarna podczas opieki przedporodowej w Oddziale Położniczo-Ginekologicznym jest informowana przez personel o możliwości odbycia porodu z udziałem jednej osoby towarzyszącej. Taki rodzaj porodu jest propagowany przez lekarzy i położne. </w:t>
      </w:r>
    </w:p>
    <w:p w14:paraId="5EE3B36B"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Poród z udziałem osoby towarzyszącej odbywa się w sali porodowej wyposażonej w specjalistyczny sprzęt porodowy. </w:t>
      </w:r>
    </w:p>
    <w:p w14:paraId="60670129"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Pożądane jest odbycie przygotowania do porodu rodzinnego w Szkole Rodzenia, nie jest to jednak warunek niezbędny. </w:t>
      </w:r>
    </w:p>
    <w:p w14:paraId="6AA4744F"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W przypadku braku przygotowania do porodu rodzinnego w Szkole Rodzenia skróconą informację pacjentka i osoba towarzysząca otrzymają od położnej prowadzącej poród. Omówienie planu porodu i roli osoby towarzyszącej w porodzie odbywa się w pierwszym okresie porodu. </w:t>
      </w:r>
    </w:p>
    <w:p w14:paraId="420EE28D"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W salach porodowych istnieje możliwość skorzystania z wielu form łagodzenia bólu porodowego, przy braku przeciwwskazań medycznych. Ze wszystkimi metodami łagodzenia bólu porodowego można się zapoznać na stronie szpitala. </w:t>
      </w:r>
    </w:p>
    <w:p w14:paraId="50160B9F"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Decyzję o zmianie formy porodu rodzinnego podejmuje lekarz lub położna zespołu dyżurnego, który/która może odmówić obecności osoby towarzyszącej w przypadku istnienia prawdopodobieństwa wystąpienia zagrożenia epidemicznego lub ze względu na bezpieczeństwo zdrowotne pacjenta. Odmowę lekarz lub położna odnotowuje w dokumentacji medycznej. </w:t>
      </w:r>
    </w:p>
    <w:p w14:paraId="78C8A8C7"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Nie ma możliwości przebywania osoby towarzyszącej z pacjentką rodzącą na salach wspólnych, tj. salach innych niż sala porodowa. </w:t>
      </w:r>
    </w:p>
    <w:p w14:paraId="44FFC836"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W pierwszym okresie porodu rodząca ma zapewnioną swobodną zmianę pozycji, chodzenie dzięki mobilnemu KTG (telemetria), a także możliwość odbycia porodu w pozycji wybranej przez siebie, jeśli nie ma przeciwwskazań medycznych. </w:t>
      </w:r>
    </w:p>
    <w:p w14:paraId="23B0AB71"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W czasie porodu rodząca przebywa z osobą towarzyszącą w sali porodowej przez cały czas trwania porodu oraz 2 godziny po porodzie, w tym w ramach kontaktu „skóra do skóry” i pierwszego przystawienia do piersi. </w:t>
      </w:r>
    </w:p>
    <w:p w14:paraId="4BADD023"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W przypadku konieczności interwencji medycznej wynikającej z niefizjologicznego przebiegu porodu osoba towarzysząca jest zobowiązana do opuszczenia sali porodowej i udania się do pomieszczenia wskazanego przez personel medyczny, na każde jego wezwanie. </w:t>
      </w:r>
    </w:p>
    <w:p w14:paraId="6616B07F"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Sposoby i urządzenia własne do łagodzenia bólu porodowego mogą być stosowane po ich zaakceptowaniu przez położną prowadzącą poród lub lekarza dyżurnego. </w:t>
      </w:r>
    </w:p>
    <w:p w14:paraId="0F7DD38D"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Po urodzeniu noworodek jest układany na brzuchu matki i inicjowane jest karmienie piersią, a jeśli jest to niemożliwe ze względu na stan zdrowia matki, noworodek jest kangurowany przez ojca lub inną osobę towarzyszącą. Jeżeli kangurowanie jest niemożliwe ze względu na stan zdrowia dziecka, noworodek przekazywany jest pod opiekę personelu oddziału neonatologii. </w:t>
      </w:r>
    </w:p>
    <w:p w14:paraId="692992C6"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Dokonanie pomiarów antropometrycznych noworodka odbywa się 2 godziny po porodzie – przed przeniesieniem na oddział neonatologii. </w:t>
      </w:r>
    </w:p>
    <w:p w14:paraId="7AF0ABDD"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lastRenderedPageBreak/>
        <w:t xml:space="preserve">Obserwację położnicy i noworodka w dwugodzinnym okresie wczesnego połogu prowadzą położna i lekarz dyżurny położnik-ginekolog w sali porodowej. W tym 2-godzinnym okresie wskazana osoba towarzysząca może przebywać razem z matką i noworodkiem. </w:t>
      </w:r>
    </w:p>
    <w:p w14:paraId="7DFE39BD"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Po zakończeniu obserwacji w sali porodowej matka wraz z dzieckiem przebywa we wspólnym pokoju na oddziale położniczym. </w:t>
      </w:r>
    </w:p>
    <w:p w14:paraId="1CF9FCA0"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Noworodki urodzone poprzez cięcie cesarskie podawane są matkom do karmienia piersią ze szczególną pomocą personelu medycznego, najszybciej, gdy jest to możliwe, również z zapewnieniem kontaktu „skóra do skóry” przez minimum 30 minut. </w:t>
      </w:r>
    </w:p>
    <w:p w14:paraId="3D5D4E6E"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Do czasu powrotu położnicy z sali operacyjnej na salę pooperacyjną istnieje możliwość kangurowania noworodka w sali przez ojca lub inną osobę towarzyszącą obecną przy porodzie. Kangurowanie i jakikolwiek kontakt fizyczny z noworodkiem, poza rodzicami i personelem medycznym, są dopuszczalne po uprzedniej zgodzie opiekuna prawnego dziecka. </w:t>
      </w:r>
    </w:p>
    <w:p w14:paraId="3F96B6AA"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W szczególnych przypadkach lekarz neonatolog podejmuje decyzję o obserwacji dziecka w sali obserwacyjnej po wyjaśnieniu matce przyczyn decyzji. </w:t>
      </w:r>
    </w:p>
    <w:p w14:paraId="13EA7665"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Matki i noworodki mogą korzystać w oddziale z własnej bielizny osobistej (podomka, bawełniana koszula rozpinana z przodu, umożliwiająca karmienie piersią, koszulki i śpioszki bawełniane dla dziecka itp.). W tej sytuacji osoba odwiedzająca zapewnia donoszenie czystej bielizny. </w:t>
      </w:r>
    </w:p>
    <w:p w14:paraId="24CCC3FB"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Odwiedziny matki wraz z noworodkiem odbywają się w pokojach pacjentek w Oddziale Położniczym, w wyznaczonych godzinach. </w:t>
      </w:r>
    </w:p>
    <w:p w14:paraId="5E872C01"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W przypadku ogłoszenia stanu zagrożenia epidemią lub w innych uzasadnionych sytuacjach Kierownik jednostki lub upoważniona przez niego osoba, na polecenie Dyrektora placówki, może wstrzymać porody rodzinne i odwiedziny w Oddziale Położniczym do odwołania. </w:t>
      </w:r>
    </w:p>
    <w:p w14:paraId="02B00892" w14:textId="77777777" w:rsidR="00D1310E" w:rsidRPr="00D1310E" w:rsidRDefault="00D1310E" w:rsidP="00D1310E">
      <w:pPr>
        <w:numPr>
          <w:ilvl w:val="0"/>
          <w:numId w:val="17"/>
        </w:numPr>
        <w:suppressAutoHyphens w:val="0"/>
        <w:spacing w:after="160" w:line="276" w:lineRule="auto"/>
        <w:rPr>
          <w:rFonts w:ascii="Calibri Light" w:hAnsi="Calibri Light" w:cs="Calibri Light"/>
        </w:rPr>
      </w:pPr>
      <w:r w:rsidRPr="00D1310E">
        <w:rPr>
          <w:rFonts w:ascii="Calibri Light" w:hAnsi="Calibri Light" w:cs="Calibri Light"/>
        </w:rPr>
        <w:t xml:space="preserve">W Oddziale Położniczym matka wraz z noworodkiem jest otoczona opieką przez położne i pielęgniarki neonatologiczne. </w:t>
      </w:r>
    </w:p>
    <w:p w14:paraId="7ECF77F4" w14:textId="38717504" w:rsidR="00E07B30" w:rsidRPr="00D1310E" w:rsidRDefault="00D1310E" w:rsidP="00D1310E">
      <w:pPr>
        <w:numPr>
          <w:ilvl w:val="0"/>
          <w:numId w:val="17"/>
        </w:numPr>
        <w:suppressAutoHyphens w:val="0"/>
        <w:spacing w:after="160" w:line="276" w:lineRule="auto"/>
        <w:rPr>
          <w:rFonts w:asciiTheme="majorHAnsi" w:hAnsiTheme="majorHAnsi" w:cstheme="majorHAnsi"/>
        </w:rPr>
      </w:pPr>
      <w:r w:rsidRPr="00D1310E">
        <w:rPr>
          <w:rFonts w:ascii="Calibri Light" w:hAnsi="Calibri Light" w:cs="Calibri Light"/>
        </w:rPr>
        <w:t>W naszym szpitalu pacjentki mają możliwość skorzystania z sali komercyjnej, gdzie mogą przebywać z osobą towarzyszącą przez cały pobyt w Oddziale Położniczym.</w:t>
      </w:r>
    </w:p>
    <w:sectPr w:rsidR="00E07B30" w:rsidRPr="00D1310E" w:rsidSect="00E07B30">
      <w:headerReference w:type="default" r:id="rId7"/>
      <w:footerReference w:type="default" r:id="rId8"/>
      <w:pgSz w:w="11906" w:h="16838"/>
      <w:pgMar w:top="1134" w:right="746" w:bottom="899"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5F722" w14:textId="77777777" w:rsidR="009A602C" w:rsidRDefault="009A602C" w:rsidP="00E07B30">
      <w:r>
        <w:separator/>
      </w:r>
    </w:p>
  </w:endnote>
  <w:endnote w:type="continuationSeparator" w:id="0">
    <w:p w14:paraId="15B68A1F" w14:textId="77777777" w:rsidR="009A602C" w:rsidRDefault="009A602C" w:rsidP="00E07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A6E6" w14:textId="2FAA2E66" w:rsidR="00E07B30" w:rsidRDefault="00E07B30">
    <w:pPr>
      <w:pStyle w:val="Stopka"/>
      <w:pBdr>
        <w:top w:val="single" w:sz="4" w:space="1" w:color="000000"/>
        <w:left w:val="none" w:sz="0" w:space="0" w:color="000000"/>
        <w:bottom w:val="none" w:sz="0" w:space="0" w:color="000000"/>
        <w:right w:val="none" w:sz="0" w:space="0" w:color="000000"/>
      </w:pBdr>
      <w:jc w:val="right"/>
    </w:pPr>
    <w:r>
      <w:t xml:space="preserve">Strona </w:t>
    </w:r>
    <w:r>
      <w:fldChar w:fldCharType="begin"/>
    </w:r>
    <w:r>
      <w:instrText xml:space="preserve"> PAGE </w:instrText>
    </w:r>
    <w:r>
      <w:fldChar w:fldCharType="separate"/>
    </w:r>
    <w:r>
      <w:t>1</w:t>
    </w:r>
    <w:r>
      <w:fldChar w:fldCharType="end"/>
    </w:r>
    <w:r>
      <w:t xml:space="preserve"> z </w:t>
    </w:r>
    <w:r w:rsidR="005922E3">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E783B" w14:textId="77777777" w:rsidR="009A602C" w:rsidRDefault="009A602C" w:rsidP="00E07B30">
      <w:r>
        <w:separator/>
      </w:r>
    </w:p>
  </w:footnote>
  <w:footnote w:type="continuationSeparator" w:id="0">
    <w:p w14:paraId="133A95EA" w14:textId="77777777" w:rsidR="009A602C" w:rsidRDefault="009A602C" w:rsidP="00E07B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D0D97" w14:textId="3F261099" w:rsidR="00E07B30" w:rsidRPr="00E07B30" w:rsidRDefault="00E07B30" w:rsidP="00E07B30">
    <w:pPr>
      <w:pStyle w:val="Nagwek"/>
    </w:pPr>
    <w:r w:rsidRPr="00553FC6">
      <w:rPr>
        <w:rFonts w:ascii="Calibri" w:hAnsi="Calibri"/>
        <w:noProof/>
        <w:sz w:val="21"/>
        <w:szCs w:val="21"/>
        <w:lang w:eastAsia="en-US"/>
      </w:rPr>
      <w:drawing>
        <wp:inline distT="0" distB="0" distL="0" distR="0" wp14:anchorId="32578870" wp14:editId="6319F5C5">
          <wp:extent cx="1803400" cy="571500"/>
          <wp:effectExtent l="0" t="0" r="6350" b="0"/>
          <wp:docPr id="14546220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34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951B2"/>
    <w:multiLevelType w:val="hybridMultilevel"/>
    <w:tmpl w:val="BA84D30A"/>
    <w:lvl w:ilvl="0" w:tplc="9E3E1CBC">
      <w:start w:val="1"/>
      <w:numFmt w:val="lowerLetter"/>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13A5B16"/>
    <w:multiLevelType w:val="hybridMultilevel"/>
    <w:tmpl w:val="DC949BCA"/>
    <w:lvl w:ilvl="0" w:tplc="04150017">
      <w:start w:val="1"/>
      <w:numFmt w:val="lowerLetter"/>
      <w:lvlText w:val="%1)"/>
      <w:lvlJc w:val="left"/>
      <w:pPr>
        <w:ind w:left="720" w:hanging="360"/>
      </w:pPr>
    </w:lvl>
    <w:lvl w:ilvl="1" w:tplc="04150017">
      <w:start w:val="1"/>
      <w:numFmt w:val="lowerLetter"/>
      <w:lvlText w:val="%2)"/>
      <w:lvlJc w:val="left"/>
      <w:pPr>
        <w:ind w:left="502"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608441C"/>
    <w:multiLevelType w:val="multilevel"/>
    <w:tmpl w:val="EA58BD5C"/>
    <w:lvl w:ilvl="0">
      <w:start w:val="1"/>
      <w:numFmt w:val="bullet"/>
      <w:lvlText w:val=""/>
      <w:lvlJc w:val="left"/>
      <w:pPr>
        <w:tabs>
          <w:tab w:val="num" w:pos="720"/>
        </w:tabs>
        <w:ind w:left="720" w:hanging="360"/>
      </w:pPr>
      <w:rPr>
        <w:rFonts w:ascii="Wingdings" w:hAnsi="Wingdings" w:hint="default"/>
        <w:strike w:val="0"/>
        <w:sz w:val="20"/>
      </w:rPr>
    </w:lvl>
    <w:lvl w:ilvl="1">
      <w:start w:val="1"/>
      <w:numFmt w:val="lowerLetter"/>
      <w:lvlText w:val="%2)"/>
      <w:lvlJc w:val="left"/>
      <w:pPr>
        <w:ind w:left="1485" w:hanging="405"/>
      </w:pPr>
      <w:rPr>
        <w:rFonts w:hint="default"/>
      </w:rPr>
    </w:lvl>
    <w:lvl w:ilvl="2">
      <w:start w:val="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D6993"/>
    <w:multiLevelType w:val="hybridMultilevel"/>
    <w:tmpl w:val="E490F71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E8F341D"/>
    <w:multiLevelType w:val="multilevel"/>
    <w:tmpl w:val="F064E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A32470"/>
    <w:multiLevelType w:val="hybridMultilevel"/>
    <w:tmpl w:val="1214E7B0"/>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CDA00DC"/>
    <w:multiLevelType w:val="hybridMultilevel"/>
    <w:tmpl w:val="9A4493CA"/>
    <w:lvl w:ilvl="0" w:tplc="04150017">
      <w:start w:val="1"/>
      <w:numFmt w:val="lowerLetter"/>
      <w:lvlText w:val="%1)"/>
      <w:lvlJc w:val="left"/>
      <w:pPr>
        <w:ind w:left="644" w:hanging="360"/>
      </w:pPr>
      <w:rPr>
        <w:rFonts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 w15:restartNumberingAfterBreak="0">
    <w:nsid w:val="562A63CD"/>
    <w:multiLevelType w:val="multilevel"/>
    <w:tmpl w:val="11044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CE34BA"/>
    <w:multiLevelType w:val="multilevel"/>
    <w:tmpl w:val="D1621DE4"/>
    <w:lvl w:ilvl="0">
      <w:start w:val="1"/>
      <w:numFmt w:val="bullet"/>
      <w:lvlText w:val=""/>
      <w:lvlJc w:val="left"/>
      <w:pPr>
        <w:tabs>
          <w:tab w:val="num" w:pos="720"/>
        </w:tabs>
        <w:ind w:left="720" w:hanging="360"/>
      </w:pPr>
      <w:rPr>
        <w:rFonts w:ascii="Wingdings" w:hAnsi="Wingding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CE0E55"/>
    <w:multiLevelType w:val="multilevel"/>
    <w:tmpl w:val="0674D0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85" w:hanging="405"/>
      </w:pPr>
      <w:rPr>
        <w:rFonts w:hint="default"/>
      </w:rPr>
    </w:lvl>
    <w:lvl w:ilvl="2">
      <w:start w:val="5"/>
      <w:numFmt w:val="decimal"/>
      <w:lvlText w:val="%3."/>
      <w:lvlJc w:val="left"/>
      <w:pPr>
        <w:ind w:left="216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296EEE"/>
    <w:multiLevelType w:val="hybridMultilevel"/>
    <w:tmpl w:val="7F2E6850"/>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29D3230"/>
    <w:multiLevelType w:val="hybridMultilevel"/>
    <w:tmpl w:val="45AC517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2DB030A"/>
    <w:multiLevelType w:val="hybridMultilevel"/>
    <w:tmpl w:val="612AFFBE"/>
    <w:lvl w:ilvl="0" w:tplc="AD4CE27C">
      <w:start w:val="1"/>
      <w:numFmt w:val="decimal"/>
      <w:lvlText w:val="%1."/>
      <w:lvlJc w:val="right"/>
      <w:pPr>
        <w:ind w:left="502" w:hanging="360"/>
      </w:pPr>
      <w:rPr>
        <w:rFonts w:hint="default"/>
        <w:b/>
        <w:bCs/>
        <w:color w:val="auto"/>
      </w:rPr>
    </w:lvl>
    <w:lvl w:ilvl="1" w:tplc="9AFAD9EA">
      <w:start w:val="1"/>
      <w:numFmt w:val="lowerRoman"/>
      <w:lvlText w:val="%2)"/>
      <w:lvlJc w:val="left"/>
      <w:pPr>
        <w:ind w:left="1582" w:hanging="720"/>
      </w:pPr>
      <w:rPr>
        <w:rFonts w:eastAsia="Aptos" w:hint="default"/>
      </w:rPr>
    </w:lvl>
    <w:lvl w:ilvl="2" w:tplc="867E39AA">
      <w:start w:val="1"/>
      <w:numFmt w:val="lowerLetter"/>
      <w:lvlText w:val="%3)"/>
      <w:lvlJc w:val="left"/>
      <w:pPr>
        <w:ind w:left="2122" w:hanging="360"/>
      </w:pPr>
      <w:rPr>
        <w:rFonts w:hint="default"/>
      </w:r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7BC16530"/>
    <w:multiLevelType w:val="hybridMultilevel"/>
    <w:tmpl w:val="F4DEABB6"/>
    <w:lvl w:ilvl="0" w:tplc="EBC6B756">
      <w:start w:val="1"/>
      <w:numFmt w:val="decimal"/>
      <w:lvlText w:val="%1."/>
      <w:lvlJc w:val="right"/>
      <w:pPr>
        <w:ind w:left="720" w:hanging="360"/>
      </w:pPr>
      <w:rPr>
        <w:rFonts w:hint="default"/>
        <w:color w:val="323232"/>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C407457"/>
    <w:multiLevelType w:val="hybridMultilevel"/>
    <w:tmpl w:val="F7F63E5A"/>
    <w:lvl w:ilvl="0" w:tplc="14543058">
      <w:start w:val="1"/>
      <w:numFmt w:val="upperRoman"/>
      <w:lvlText w:val="%1."/>
      <w:lvlJc w:val="left"/>
      <w:pPr>
        <w:ind w:left="1080" w:hanging="720"/>
      </w:pPr>
      <w:rPr>
        <w:rFonts w:hint="default"/>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F2E54D5"/>
    <w:multiLevelType w:val="hybridMultilevel"/>
    <w:tmpl w:val="CC02EC4A"/>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F73247C"/>
    <w:multiLevelType w:val="multilevel"/>
    <w:tmpl w:val="A2368384"/>
    <w:lvl w:ilvl="0">
      <w:start w:val="1"/>
      <w:numFmt w:val="bullet"/>
      <w:lvlText w:val=""/>
      <w:lvlJc w:val="left"/>
      <w:pPr>
        <w:tabs>
          <w:tab w:val="num" w:pos="720"/>
        </w:tabs>
        <w:ind w:left="720" w:hanging="360"/>
      </w:pPr>
      <w:rPr>
        <w:rFonts w:ascii="Wingdings" w:hAnsi="Wingdings" w:hint="default"/>
        <w:strike w:val="0"/>
        <w:sz w:val="20"/>
      </w:rPr>
    </w:lvl>
    <w:lvl w:ilvl="1">
      <w:start w:val="1"/>
      <w:numFmt w:val="lowerLetter"/>
      <w:lvlText w:val="%2)"/>
      <w:lvlJc w:val="left"/>
      <w:pPr>
        <w:ind w:left="1485" w:hanging="405"/>
      </w:pPr>
      <w:rPr>
        <w:rFonts w:hint="default"/>
      </w:rPr>
    </w:lvl>
    <w:lvl w:ilvl="2">
      <w:start w:val="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9524137">
    <w:abstractNumId w:val="13"/>
  </w:num>
  <w:num w:numId="2" w16cid:durableId="683557425">
    <w:abstractNumId w:val="12"/>
  </w:num>
  <w:num w:numId="3" w16cid:durableId="326445998">
    <w:abstractNumId w:val="1"/>
  </w:num>
  <w:num w:numId="4" w16cid:durableId="1698696514">
    <w:abstractNumId w:val="0"/>
  </w:num>
  <w:num w:numId="5" w16cid:durableId="1507207707">
    <w:abstractNumId w:val="6"/>
  </w:num>
  <w:num w:numId="6" w16cid:durableId="454565338">
    <w:abstractNumId w:val="9"/>
  </w:num>
  <w:num w:numId="7" w16cid:durableId="1873031127">
    <w:abstractNumId w:val="14"/>
  </w:num>
  <w:num w:numId="8" w16cid:durableId="438110002">
    <w:abstractNumId w:val="5"/>
  </w:num>
  <w:num w:numId="9" w16cid:durableId="1017536829">
    <w:abstractNumId w:val="15"/>
  </w:num>
  <w:num w:numId="10" w16cid:durableId="642809598">
    <w:abstractNumId w:val="10"/>
  </w:num>
  <w:num w:numId="11" w16cid:durableId="835151152">
    <w:abstractNumId w:val="16"/>
  </w:num>
  <w:num w:numId="12" w16cid:durableId="959647693">
    <w:abstractNumId w:val="2"/>
  </w:num>
  <w:num w:numId="13" w16cid:durableId="1186485959">
    <w:abstractNumId w:val="7"/>
  </w:num>
  <w:num w:numId="14" w16cid:durableId="976377350">
    <w:abstractNumId w:val="11"/>
  </w:num>
  <w:num w:numId="15" w16cid:durableId="1950627155">
    <w:abstractNumId w:val="8"/>
  </w:num>
  <w:num w:numId="16" w16cid:durableId="305207354">
    <w:abstractNumId w:val="3"/>
  </w:num>
  <w:num w:numId="17" w16cid:durableId="7398684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B30"/>
    <w:rsid w:val="0011077C"/>
    <w:rsid w:val="00575CCB"/>
    <w:rsid w:val="005922E3"/>
    <w:rsid w:val="00953637"/>
    <w:rsid w:val="009760DF"/>
    <w:rsid w:val="009A602C"/>
    <w:rsid w:val="00A80C44"/>
    <w:rsid w:val="00D1310E"/>
    <w:rsid w:val="00D86E67"/>
    <w:rsid w:val="00DD3259"/>
    <w:rsid w:val="00E07B30"/>
    <w:rsid w:val="00F549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9DBD1"/>
  <w15:chartTrackingRefBased/>
  <w15:docId w15:val="{F9CAE4D8-1A31-4E51-BDA9-428DE5B9D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B30"/>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Nagwek1">
    <w:name w:val="heading 1"/>
    <w:basedOn w:val="Normalny"/>
    <w:next w:val="Normalny"/>
    <w:link w:val="Nagwek1Znak"/>
    <w:uiPriority w:val="9"/>
    <w:qFormat/>
    <w:rsid w:val="00E07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07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07B3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07B3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07B3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07B3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07B3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07B3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07B3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7B3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07B3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07B3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07B3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07B3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07B3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07B3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07B3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07B30"/>
    <w:rPr>
      <w:rFonts w:eastAsiaTheme="majorEastAsia" w:cstheme="majorBidi"/>
      <w:color w:val="272727" w:themeColor="text1" w:themeTint="D8"/>
    </w:rPr>
  </w:style>
  <w:style w:type="paragraph" w:styleId="Tytu">
    <w:name w:val="Title"/>
    <w:basedOn w:val="Normalny"/>
    <w:next w:val="Normalny"/>
    <w:link w:val="TytuZnak"/>
    <w:uiPriority w:val="10"/>
    <w:qFormat/>
    <w:rsid w:val="00E07B3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07B3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07B3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07B3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07B30"/>
    <w:pPr>
      <w:spacing w:before="160"/>
      <w:jc w:val="center"/>
    </w:pPr>
    <w:rPr>
      <w:i/>
      <w:iCs/>
      <w:color w:val="404040" w:themeColor="text1" w:themeTint="BF"/>
    </w:rPr>
  </w:style>
  <w:style w:type="character" w:customStyle="1" w:styleId="CytatZnak">
    <w:name w:val="Cytat Znak"/>
    <w:basedOn w:val="Domylnaczcionkaakapitu"/>
    <w:link w:val="Cytat"/>
    <w:uiPriority w:val="29"/>
    <w:rsid w:val="00E07B30"/>
    <w:rPr>
      <w:i/>
      <w:iCs/>
      <w:color w:val="404040" w:themeColor="text1" w:themeTint="BF"/>
    </w:rPr>
  </w:style>
  <w:style w:type="paragraph" w:styleId="Akapitzlist">
    <w:name w:val="List Paragraph"/>
    <w:basedOn w:val="Normalny"/>
    <w:uiPriority w:val="34"/>
    <w:qFormat/>
    <w:rsid w:val="00E07B30"/>
    <w:pPr>
      <w:ind w:left="720"/>
      <w:contextualSpacing/>
    </w:pPr>
  </w:style>
  <w:style w:type="character" w:styleId="Wyrnienieintensywne">
    <w:name w:val="Intense Emphasis"/>
    <w:basedOn w:val="Domylnaczcionkaakapitu"/>
    <w:uiPriority w:val="21"/>
    <w:qFormat/>
    <w:rsid w:val="00E07B30"/>
    <w:rPr>
      <w:i/>
      <w:iCs/>
      <w:color w:val="0F4761" w:themeColor="accent1" w:themeShade="BF"/>
    </w:rPr>
  </w:style>
  <w:style w:type="paragraph" w:styleId="Cytatintensywny">
    <w:name w:val="Intense Quote"/>
    <w:basedOn w:val="Normalny"/>
    <w:next w:val="Normalny"/>
    <w:link w:val="CytatintensywnyZnak"/>
    <w:uiPriority w:val="30"/>
    <w:qFormat/>
    <w:rsid w:val="00E07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07B30"/>
    <w:rPr>
      <w:i/>
      <w:iCs/>
      <w:color w:val="0F4761" w:themeColor="accent1" w:themeShade="BF"/>
    </w:rPr>
  </w:style>
  <w:style w:type="character" w:styleId="Odwoanieintensywne">
    <w:name w:val="Intense Reference"/>
    <w:basedOn w:val="Domylnaczcionkaakapitu"/>
    <w:uiPriority w:val="32"/>
    <w:qFormat/>
    <w:rsid w:val="00E07B30"/>
    <w:rPr>
      <w:b/>
      <w:bCs/>
      <w:smallCaps/>
      <w:color w:val="0F4761" w:themeColor="accent1" w:themeShade="BF"/>
      <w:spacing w:val="5"/>
    </w:rPr>
  </w:style>
  <w:style w:type="paragraph" w:styleId="Nagwek">
    <w:name w:val="header"/>
    <w:basedOn w:val="Normalny"/>
    <w:link w:val="NagwekZnak"/>
    <w:rsid w:val="00E07B30"/>
    <w:pPr>
      <w:tabs>
        <w:tab w:val="center" w:pos="4536"/>
        <w:tab w:val="right" w:pos="9072"/>
      </w:tabs>
    </w:pPr>
  </w:style>
  <w:style w:type="character" w:customStyle="1" w:styleId="NagwekZnak">
    <w:name w:val="Nagłówek Znak"/>
    <w:basedOn w:val="Domylnaczcionkaakapitu"/>
    <w:link w:val="Nagwek"/>
    <w:rsid w:val="00E07B30"/>
    <w:rPr>
      <w:rFonts w:ascii="Times New Roman" w:eastAsia="Times New Roman" w:hAnsi="Times New Roman" w:cs="Times New Roman"/>
      <w:kern w:val="0"/>
      <w:sz w:val="20"/>
      <w:szCs w:val="20"/>
      <w:lang w:eastAsia="zh-CN"/>
      <w14:ligatures w14:val="none"/>
    </w:rPr>
  </w:style>
  <w:style w:type="paragraph" w:styleId="Stopka">
    <w:name w:val="footer"/>
    <w:basedOn w:val="Normalny"/>
    <w:link w:val="StopkaZnak"/>
    <w:rsid w:val="00E07B30"/>
    <w:pPr>
      <w:tabs>
        <w:tab w:val="center" w:pos="4536"/>
        <w:tab w:val="right" w:pos="9072"/>
      </w:tabs>
    </w:pPr>
  </w:style>
  <w:style w:type="character" w:customStyle="1" w:styleId="StopkaZnak">
    <w:name w:val="Stopka Znak"/>
    <w:basedOn w:val="Domylnaczcionkaakapitu"/>
    <w:link w:val="Stopka"/>
    <w:rsid w:val="00E07B30"/>
    <w:rPr>
      <w:rFonts w:ascii="Times New Roman" w:eastAsia="Times New Roman" w:hAnsi="Times New Roman" w:cs="Times New Roman"/>
      <w:kern w:val="0"/>
      <w:sz w:val="20"/>
      <w:szCs w:val="20"/>
      <w:lang w:eastAsia="zh-CN"/>
      <w14:ligatures w14:val="none"/>
    </w:rPr>
  </w:style>
  <w:style w:type="paragraph" w:customStyle="1" w:styleId="Standard">
    <w:name w:val="Standard"/>
    <w:rsid w:val="00E07B30"/>
    <w:pPr>
      <w:widowControl w:val="0"/>
      <w:suppressAutoHyphens/>
      <w:spacing w:after="0" w:line="240" w:lineRule="auto"/>
      <w:textAlignment w:val="baseline"/>
    </w:pPr>
    <w:rPr>
      <w:rFonts w:ascii="Times New Roman" w:eastAsia="SimSun" w:hAnsi="Times New Roman" w:cs="Mangal"/>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8762d98-7077-4c04-b56e-578d408d733f}" enabled="1" method="Standard" siteId="{a9cfb7e4-e2ef-4677-ab90-ff7e67c3205f}"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711</Words>
  <Characters>4272</Characters>
  <Application>Microsoft Office Word</Application>
  <DocSecurity>0</DocSecurity>
  <Lines>35</Lines>
  <Paragraphs>9</Paragraphs>
  <ScaleCrop>false</ScaleCrop>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Kanabus</dc:creator>
  <cp:keywords/>
  <dc:description/>
  <cp:lastModifiedBy>Angelina Kanabus</cp:lastModifiedBy>
  <cp:revision>2</cp:revision>
  <cp:lastPrinted>2026-08-13T09:14:00Z</cp:lastPrinted>
  <dcterms:created xsi:type="dcterms:W3CDTF">2026-08-13T09:15:00Z</dcterms:created>
  <dcterms:modified xsi:type="dcterms:W3CDTF">2026-08-13T09:15:00Z</dcterms:modified>
</cp:coreProperties>
</file>